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BACED" w14:textId="41E5E267" w:rsidR="0053323E" w:rsidRDefault="0053323E" w:rsidP="00435A5B">
      <w:pPr>
        <w:rPr>
          <w:b/>
        </w:rPr>
      </w:pPr>
      <w:r>
        <w:rPr>
          <w:b/>
        </w:rPr>
        <w:t>Revised Nov 2013</w:t>
      </w:r>
    </w:p>
    <w:p w14:paraId="5AF0993E" w14:textId="77777777" w:rsidR="0098037C" w:rsidRDefault="00124D19" w:rsidP="00435A5B">
      <w:pPr>
        <w:rPr>
          <w:b/>
        </w:rPr>
      </w:pPr>
      <w:r>
        <w:rPr>
          <w:b/>
        </w:rPr>
        <w:t xml:space="preserve">Undergraduate Courses </w:t>
      </w:r>
    </w:p>
    <w:p w14:paraId="59E56081" w14:textId="5B33C905" w:rsidR="00435A5B" w:rsidRPr="00435A5B" w:rsidRDefault="00435A5B" w:rsidP="00435A5B">
      <w:pPr>
        <w:rPr>
          <w:b/>
        </w:rPr>
      </w:pPr>
      <w:r w:rsidRPr="00435A5B">
        <w:rPr>
          <w:b/>
        </w:rPr>
        <w:t>Classroom Support Guidelines</w:t>
      </w:r>
      <w:r>
        <w:rPr>
          <w:b/>
        </w:rPr>
        <w:t xml:space="preserve"> for Full-Time Faculty</w:t>
      </w:r>
    </w:p>
    <w:p w14:paraId="4FB42CE6" w14:textId="77777777" w:rsidR="00435A5B" w:rsidRPr="00435A5B" w:rsidRDefault="00435A5B" w:rsidP="00435A5B">
      <w:pPr>
        <w:numPr>
          <w:ilvl w:val="1"/>
          <w:numId w:val="1"/>
        </w:numPr>
      </w:pPr>
      <w:r w:rsidRPr="00435A5B">
        <w:t>Single course – taught by one individual</w:t>
      </w:r>
    </w:p>
    <w:p w14:paraId="4E2B4CF2" w14:textId="77777777" w:rsidR="0099704C" w:rsidRDefault="0099704C" w:rsidP="00435A5B">
      <w:pPr>
        <w:numPr>
          <w:ilvl w:val="2"/>
          <w:numId w:val="1"/>
        </w:numPr>
      </w:pPr>
      <w:r>
        <w:t xml:space="preserve">Courses default to a 70 student cap unless the associate dean or dean approves an exception (e.g., available work stations, WIC, facilities, etc.). </w:t>
      </w:r>
      <w:r w:rsidR="001D6153">
        <w:t xml:space="preserve">  Note: The capacity of single rooms in GRC and CH are 35 students and there is limited flexibility to combine rooms in CH.  </w:t>
      </w:r>
    </w:p>
    <w:p w14:paraId="6E33AE23" w14:textId="77777777" w:rsidR="00435A5B" w:rsidRPr="00435A5B" w:rsidRDefault="00435A5B" w:rsidP="00435A5B">
      <w:pPr>
        <w:numPr>
          <w:ilvl w:val="2"/>
          <w:numId w:val="1"/>
        </w:numPr>
      </w:pPr>
      <w:r w:rsidRPr="00435A5B">
        <w:t xml:space="preserve">When a course hits 70 students, the course can be split into two sections or can be taught once and counted as two courses.  </w:t>
      </w:r>
    </w:p>
    <w:p w14:paraId="4FAC66D4" w14:textId="7FB09204" w:rsidR="00435A5B" w:rsidRPr="00435A5B" w:rsidRDefault="00435A5B" w:rsidP="00435A5B">
      <w:pPr>
        <w:numPr>
          <w:ilvl w:val="2"/>
          <w:numId w:val="1"/>
        </w:numPr>
      </w:pPr>
      <w:r w:rsidRPr="00435A5B">
        <w:t>Between 4</w:t>
      </w:r>
      <w:r w:rsidR="00C15400">
        <w:t>1</w:t>
      </w:r>
      <w:r w:rsidR="006F4875">
        <w:t>-70 students, an adjunct may</w:t>
      </w:r>
      <w:r w:rsidR="0022688E">
        <w:t xml:space="preserve"> be hired on </w:t>
      </w:r>
      <w:r w:rsidR="006F4875">
        <w:t xml:space="preserve">a half-time appointment as a TA in undergraduate courses.  For graduate courses, a TA may be hired if course </w:t>
      </w:r>
      <w:r w:rsidR="00EA0B31">
        <w:t>enrollments are greater than 28 (added March2015).</w:t>
      </w:r>
      <w:bookmarkStart w:id="0" w:name="_GoBack"/>
      <w:bookmarkEnd w:id="0"/>
    </w:p>
    <w:p w14:paraId="23F1C56F" w14:textId="77777777" w:rsidR="00435A5B" w:rsidRPr="00435A5B" w:rsidRDefault="00435A5B" w:rsidP="00435A5B">
      <w:pPr>
        <w:numPr>
          <w:ilvl w:val="1"/>
          <w:numId w:val="1"/>
        </w:numPr>
      </w:pPr>
      <w:r w:rsidRPr="00435A5B">
        <w:t>WIC- “</w:t>
      </w:r>
      <w:r w:rsidRPr="00435A5B">
        <w:rPr>
          <w:lang w:val="en"/>
        </w:rPr>
        <w:t>Ideally, WIC courses are restricted to 20 students.</w:t>
      </w:r>
      <w:r w:rsidRPr="00435A5B">
        <w:t xml:space="preserve">”   </w:t>
      </w:r>
    </w:p>
    <w:p w14:paraId="0D2FF4D1" w14:textId="77777777" w:rsidR="00435A5B" w:rsidRPr="00435A5B" w:rsidRDefault="00435A5B" w:rsidP="00435A5B">
      <w:pPr>
        <w:numPr>
          <w:ilvl w:val="2"/>
          <w:numId w:val="1"/>
        </w:numPr>
      </w:pPr>
      <w:r w:rsidRPr="00435A5B">
        <w:t xml:space="preserve">WICs with 25-39 students </w:t>
      </w:r>
      <w:r w:rsidRPr="00435A5B">
        <w:rPr>
          <w:u w:val="single"/>
        </w:rPr>
        <w:t xml:space="preserve">will </w:t>
      </w:r>
      <w:r w:rsidRPr="00435A5B">
        <w:t xml:space="preserve">hire a ½ time adjunct to assist students with their writing and to provide feedback on their writing.  It remains the teacher’s responsibility to design, instruct, and grade the writing assignments.  Vicki </w:t>
      </w:r>
      <w:proofErr w:type="spellStart"/>
      <w:r w:rsidRPr="00435A5B">
        <w:t>Tolar</w:t>
      </w:r>
      <w:proofErr w:type="spellEnd"/>
      <w:r w:rsidRPr="00435A5B">
        <w:t xml:space="preserve"> Burton in Corvallis has offered to </w:t>
      </w:r>
      <w:proofErr w:type="spellStart"/>
      <w:r w:rsidRPr="00435A5B">
        <w:t>skype</w:t>
      </w:r>
      <w:proofErr w:type="spellEnd"/>
      <w:r w:rsidRPr="00435A5B">
        <w:t xml:space="preserve"> meet with any adjunct we use in this capacity to share what feedback on assignments is most helpful to students regarding their writing.  </w:t>
      </w:r>
    </w:p>
    <w:p w14:paraId="03CF9FF7" w14:textId="77777777" w:rsidR="00435A5B" w:rsidRPr="00435A5B" w:rsidRDefault="00435A5B" w:rsidP="00435A5B">
      <w:pPr>
        <w:numPr>
          <w:ilvl w:val="2"/>
          <w:numId w:val="1"/>
        </w:numPr>
      </w:pPr>
      <w:r w:rsidRPr="00435A5B">
        <w:t>When a WIC course hits 40 students, it will be split into two sections.</w:t>
      </w:r>
    </w:p>
    <w:p w14:paraId="4F387662" w14:textId="77777777" w:rsidR="00435A5B" w:rsidRPr="00435A5B" w:rsidRDefault="00435A5B" w:rsidP="00435A5B">
      <w:pPr>
        <w:numPr>
          <w:ilvl w:val="1"/>
          <w:numId w:val="1"/>
        </w:numPr>
      </w:pPr>
      <w:r w:rsidRPr="00435A5B">
        <w:t>Team taught courses</w:t>
      </w:r>
    </w:p>
    <w:p w14:paraId="5E376687" w14:textId="2AB83E80" w:rsidR="00DF491E" w:rsidRDefault="00435A5B" w:rsidP="00DF491E">
      <w:pPr>
        <w:numPr>
          <w:ilvl w:val="0"/>
          <w:numId w:val="2"/>
        </w:numPr>
      </w:pPr>
      <w:r w:rsidRPr="00435A5B">
        <w:t>Multi-disciplinary courses require multiple per</w:t>
      </w:r>
      <w:r w:rsidR="00135091">
        <w:t>spectives (currently NR 350 and an Am Studies three-course sequence</w:t>
      </w:r>
      <w:r w:rsidRPr="00435A5B">
        <w:t xml:space="preserve"> are team taught). Team teaching i</w:t>
      </w:r>
      <w:r w:rsidR="00187047">
        <w:t>s defined as two instructors in the classroom</w:t>
      </w:r>
      <w:r w:rsidR="003923CD">
        <w:t xml:space="preserve"> for</w:t>
      </w:r>
      <w:r w:rsidR="00187047">
        <w:t xml:space="preserve"> </w:t>
      </w:r>
      <w:r w:rsidRPr="00435A5B">
        <w:t>the majority of cl</w:t>
      </w:r>
      <w:r w:rsidR="003923CD">
        <w:t>ass meetings and both individuals are very engaged in grading</w:t>
      </w:r>
      <w:r w:rsidRPr="00435A5B">
        <w:t xml:space="preserve">.  </w:t>
      </w:r>
      <w:r w:rsidR="00320FC1">
        <w:t xml:space="preserve"> Tag team teaching</w:t>
      </w:r>
      <w:r w:rsidR="00C15400">
        <w:t>, where course time and responsibility is divided up,</w:t>
      </w:r>
      <w:r w:rsidR="00320FC1">
        <w:t xml:space="preserve"> results in individuals receiving partial credit for their teaching. </w:t>
      </w:r>
    </w:p>
    <w:p w14:paraId="35847C2A" w14:textId="06EE8D37" w:rsidR="00DF491E" w:rsidRPr="003923CD" w:rsidRDefault="006C4D57" w:rsidP="00DF491E">
      <w:pPr>
        <w:numPr>
          <w:ilvl w:val="0"/>
          <w:numId w:val="2"/>
        </w:numPr>
      </w:pPr>
      <w:r w:rsidRPr="003923CD">
        <w:t>I</w:t>
      </w:r>
      <w:r w:rsidR="00320FC1" w:rsidRPr="003923CD">
        <w:t>ndividuals</w:t>
      </w:r>
      <w:r w:rsidR="00C15400">
        <w:t xml:space="preserve"> who</w:t>
      </w:r>
      <w:r w:rsidR="003923CD">
        <w:t xml:space="preserve"> are</w:t>
      </w:r>
      <w:r w:rsidR="00320FC1" w:rsidRPr="003923CD">
        <w:t xml:space="preserve"> team teaching courses </w:t>
      </w:r>
      <w:r w:rsidR="003923CD" w:rsidRPr="003923CD">
        <w:t>with at least 60</w:t>
      </w:r>
      <w:r w:rsidR="00187047" w:rsidRPr="003923CD">
        <w:t xml:space="preserve"> students are credited with</w:t>
      </w:r>
      <w:r w:rsidR="00435A5B" w:rsidRPr="003923CD">
        <w:t xml:space="preserve"> one course for e</w:t>
      </w:r>
      <w:r w:rsidR="00135091" w:rsidRPr="003923CD">
        <w:t>ach individual.  </w:t>
      </w:r>
    </w:p>
    <w:p w14:paraId="79E9890F" w14:textId="10EEC5F6" w:rsidR="00435A5B" w:rsidRPr="00171D09" w:rsidRDefault="00DD61F5" w:rsidP="00C15400">
      <w:pPr>
        <w:tabs>
          <w:tab w:val="left" w:pos="2070"/>
        </w:tabs>
        <w:ind w:left="2520" w:hanging="540"/>
      </w:pPr>
      <w:r w:rsidRPr="00171D09">
        <w:t xml:space="preserve">iii. </w:t>
      </w:r>
      <w:r w:rsidR="0098037C" w:rsidRPr="00171D09">
        <w:t xml:space="preserve">      </w:t>
      </w:r>
      <w:r w:rsidR="00135091" w:rsidRPr="00171D09">
        <w:t xml:space="preserve">At more than </w:t>
      </w:r>
      <w:r w:rsidR="00DF491E" w:rsidRPr="00171D09">
        <w:rPr>
          <w:u w:val="single"/>
        </w:rPr>
        <w:t>7</w:t>
      </w:r>
      <w:r w:rsidRPr="00171D09">
        <w:rPr>
          <w:u w:val="single"/>
        </w:rPr>
        <w:t>5</w:t>
      </w:r>
      <w:r w:rsidR="00435A5B" w:rsidRPr="00171D09">
        <w:t xml:space="preserve"> students, </w:t>
      </w:r>
      <w:r w:rsidR="00135091" w:rsidRPr="00171D09">
        <w:t>a ½ time adjunct TA can be requested</w:t>
      </w:r>
      <w:r w:rsidR="00435A5B" w:rsidRPr="00171D09">
        <w:t xml:space="preserve"> </w:t>
      </w:r>
      <w:r w:rsidRPr="00171D09">
        <w:t xml:space="preserve">to help with grading and </w:t>
      </w:r>
      <w:r w:rsidR="0098037C" w:rsidRPr="00171D09">
        <w:t xml:space="preserve">   </w:t>
      </w:r>
      <w:r w:rsidRPr="00171D09">
        <w:t>classroom facilitation.  (The 75</w:t>
      </w:r>
      <w:r w:rsidR="00171D09" w:rsidRPr="00171D09">
        <w:t xml:space="preserve"> </w:t>
      </w:r>
      <w:proofErr w:type="gramStart"/>
      <w:r w:rsidR="00171D09" w:rsidRPr="00171D09">
        <w:t>enrollment</w:t>
      </w:r>
      <w:proofErr w:type="gramEnd"/>
      <w:r w:rsidRPr="00171D09">
        <w:t xml:space="preserve"> is set due to drops expected the first few weeks). </w:t>
      </w:r>
    </w:p>
    <w:p w14:paraId="2DDDB290" w14:textId="436FE1DB" w:rsidR="00921617" w:rsidRDefault="00C82957" w:rsidP="00171D09">
      <w:pPr>
        <w:ind w:left="1440" w:hanging="360"/>
      </w:pPr>
      <w:r w:rsidRPr="00DF491E">
        <w:t xml:space="preserve">d. </w:t>
      </w:r>
      <w:r w:rsidR="007A2F06">
        <w:t xml:space="preserve">   </w:t>
      </w:r>
      <w:r w:rsidRPr="00171D09">
        <w:t>Lab sections</w:t>
      </w:r>
      <w:r w:rsidR="00DF491E" w:rsidRPr="00171D09">
        <w:t>—</w:t>
      </w:r>
      <w:r w:rsidR="00297467" w:rsidRPr="00171D09">
        <w:t xml:space="preserve">Labs are </w:t>
      </w:r>
      <w:r w:rsidR="00DF491E" w:rsidRPr="00171D09">
        <w:t>unique and require multi</w:t>
      </w:r>
      <w:r w:rsidR="00297467" w:rsidRPr="00171D09">
        <w:t>pl</w:t>
      </w:r>
      <w:r w:rsidR="00495EDC" w:rsidRPr="00171D09">
        <w:t>e criteria evaluation</w:t>
      </w:r>
      <w:r w:rsidR="00297467" w:rsidRPr="00171D09">
        <w:t xml:space="preserve">.  How to credit labs will </w:t>
      </w:r>
      <w:r w:rsidR="00921617" w:rsidRPr="00171D09">
        <w:t xml:space="preserve">be a </w:t>
      </w:r>
      <w:r w:rsidR="00297467" w:rsidRPr="00171D09">
        <w:t>discussion involving multiple stakeholders.</w:t>
      </w:r>
      <w:r w:rsidR="00297467">
        <w:t xml:space="preserve"> </w:t>
      </w:r>
    </w:p>
    <w:p w14:paraId="5AEAA031" w14:textId="5E764A1A" w:rsidR="00910AD2" w:rsidRDefault="00910AD2" w:rsidP="00832166">
      <w:pPr>
        <w:ind w:left="1800" w:hanging="360"/>
      </w:pPr>
    </w:p>
    <w:p w14:paraId="6F827F6C" w14:textId="77777777" w:rsidR="00910AD2" w:rsidRDefault="00910AD2" w:rsidP="00832166">
      <w:pPr>
        <w:ind w:left="1800" w:hanging="360"/>
      </w:pPr>
    </w:p>
    <w:p w14:paraId="7C5F49BE" w14:textId="77777777" w:rsidR="00910AD2" w:rsidRDefault="00910AD2" w:rsidP="00832166">
      <w:pPr>
        <w:ind w:left="1800" w:hanging="360"/>
      </w:pPr>
    </w:p>
    <w:p w14:paraId="1167901F" w14:textId="77777777" w:rsidR="008B3557" w:rsidRDefault="008B3557" w:rsidP="00910AD2">
      <w:pPr>
        <w:ind w:left="1800" w:hanging="360"/>
      </w:pPr>
    </w:p>
    <w:p w14:paraId="4D10B83F" w14:textId="77777777" w:rsidR="008B3557" w:rsidRDefault="008B3557" w:rsidP="00910AD2">
      <w:pPr>
        <w:ind w:left="1800" w:hanging="360"/>
      </w:pPr>
    </w:p>
    <w:p w14:paraId="15793191" w14:textId="77777777" w:rsidR="008B3557" w:rsidRDefault="008B3557" w:rsidP="00910AD2">
      <w:pPr>
        <w:ind w:left="1800" w:hanging="360"/>
      </w:pPr>
    </w:p>
    <w:p w14:paraId="068020DF" w14:textId="367D2823" w:rsidR="00692AAB" w:rsidRDefault="00910AD2" w:rsidP="00910AD2">
      <w:pPr>
        <w:ind w:left="1800" w:hanging="360"/>
      </w:pPr>
      <w:r>
        <w:t xml:space="preserve">e.   </w:t>
      </w:r>
      <w:r w:rsidR="00A02820">
        <w:t>SCH-based Course Release</w:t>
      </w:r>
      <w:r>
        <w:t>--</w:t>
      </w:r>
      <w:r w:rsidR="00A02820">
        <w:t xml:space="preserve"> </w:t>
      </w:r>
      <w:r w:rsidR="00435A5B" w:rsidRPr="00DF491E">
        <w:t xml:space="preserve">Faculty can request a course release when enrollment in five courses with a total enrollment of </w:t>
      </w:r>
      <w:r w:rsidR="00C82957" w:rsidRPr="00DF491E">
        <w:t xml:space="preserve">  </w:t>
      </w:r>
      <w:r w:rsidR="00435A5B" w:rsidRPr="00DF491E">
        <w:t>175 students (35*5) for assistant,</w:t>
      </w:r>
      <w:r w:rsidR="00974D67">
        <w:t xml:space="preserve"> associate or full professors, </w:t>
      </w:r>
      <w:r w:rsidR="00435A5B" w:rsidRPr="00DF491E">
        <w:t xml:space="preserve">or 280 students (35 * 8) for instructors or senior instructors. </w:t>
      </w:r>
      <w:r w:rsidR="00C952C0" w:rsidRPr="00DF491E">
        <w:t xml:space="preserve">  Release time would be granted for the immediately following year.</w:t>
      </w:r>
    </w:p>
    <w:p w14:paraId="1F4E1794" w14:textId="68DD896F" w:rsidR="00CB2F2A" w:rsidRPr="000F2B68" w:rsidRDefault="00921617" w:rsidP="00E3429A">
      <w:pPr>
        <w:ind w:left="1800" w:hanging="360"/>
      </w:pPr>
      <w:r w:rsidRPr="000F2B68">
        <w:t>f</w:t>
      </w:r>
      <w:r w:rsidR="00E3429A" w:rsidRPr="000F2B68">
        <w:t xml:space="preserve">.   </w:t>
      </w:r>
      <w:r w:rsidR="00A02820" w:rsidRPr="000F2B68">
        <w:t>Grant-based Course R</w:t>
      </w:r>
      <w:r w:rsidR="00297467" w:rsidRPr="000F2B68">
        <w:t>elease –</w:t>
      </w:r>
      <w:r w:rsidR="00CB2F2A" w:rsidRPr="000F2B68">
        <w:t xml:space="preserve"> </w:t>
      </w:r>
      <w:r w:rsidR="00A02820" w:rsidRPr="000F2B68">
        <w:t>E</w:t>
      </w:r>
      <w:r w:rsidR="00297467" w:rsidRPr="000F2B68">
        <w:t>ach year before the start o</w:t>
      </w:r>
      <w:r w:rsidR="007D5D71" w:rsidRPr="000F2B68">
        <w:t>f fall term, faculty with grant funding</w:t>
      </w:r>
      <w:r w:rsidR="00297467" w:rsidRPr="000F2B68">
        <w:t xml:space="preserve"> may cho</w:t>
      </w:r>
      <w:r w:rsidR="00072E69" w:rsidRPr="000F2B68">
        <w:t>o</w:t>
      </w:r>
      <w:r w:rsidR="00297467" w:rsidRPr="000F2B68">
        <w:t>se one of the following options</w:t>
      </w:r>
      <w:r w:rsidR="00CB2F2A" w:rsidRPr="000F2B68">
        <w:t xml:space="preserve"> to execute</w:t>
      </w:r>
      <w:r w:rsidR="00A02820" w:rsidRPr="000F2B68">
        <w:t xml:space="preserve"> regarding course release.</w:t>
      </w:r>
    </w:p>
    <w:p w14:paraId="783E8653" w14:textId="40873550" w:rsidR="00CB2F2A" w:rsidRPr="000F2B68" w:rsidRDefault="00A02820" w:rsidP="00CB2F2A">
      <w:pPr>
        <w:pStyle w:val="ListParagraph"/>
        <w:numPr>
          <w:ilvl w:val="0"/>
          <w:numId w:val="6"/>
        </w:numPr>
      </w:pPr>
      <w:r w:rsidRPr="000F2B68">
        <w:t>OSU-</w:t>
      </w:r>
      <w:r w:rsidR="00297467" w:rsidRPr="000F2B68">
        <w:t xml:space="preserve">Cascades option:  </w:t>
      </w:r>
      <w:r w:rsidR="005C1C73" w:rsidRPr="000F2B68">
        <w:t>Faculty may</w:t>
      </w:r>
      <w:r w:rsidR="00435A5B" w:rsidRPr="000F2B68">
        <w:t xml:space="preserve"> buyout of a course for $5000/course.  </w:t>
      </w:r>
      <w:r w:rsidR="00193BB3" w:rsidRPr="000F2B68">
        <w:t>Tenured and tenure-track n</w:t>
      </w:r>
      <w:r w:rsidR="00435A5B" w:rsidRPr="000F2B68">
        <w:t xml:space="preserve">ine-month full-time faculty must teach at least three courses per AY and 12 month faculty must teach at least four courses per academic year.  </w:t>
      </w:r>
      <w:r w:rsidR="00193BB3" w:rsidRPr="000F2B68">
        <w:t xml:space="preserve"> </w:t>
      </w:r>
      <w:r w:rsidR="00072E69" w:rsidRPr="000F2B68">
        <w:t>Acceptable replace</w:t>
      </w:r>
      <w:r w:rsidRPr="000F2B68">
        <w:t xml:space="preserve">ment faculty must be available.  The individual requesting the course release must help identify the replacement faculty. </w:t>
      </w:r>
    </w:p>
    <w:p w14:paraId="7FA8F2BF" w14:textId="77777777" w:rsidR="007F47DF" w:rsidRPr="000F2B68" w:rsidRDefault="007F47DF" w:rsidP="007F47DF">
      <w:pPr>
        <w:pStyle w:val="ListParagraph"/>
        <w:ind w:left="2160"/>
      </w:pPr>
    </w:p>
    <w:p w14:paraId="2787EE4E" w14:textId="4BE93C71" w:rsidR="00CB2F2A" w:rsidRPr="000F2B68" w:rsidRDefault="00A02820" w:rsidP="007F47DF">
      <w:pPr>
        <w:pStyle w:val="ListParagraph"/>
        <w:numPr>
          <w:ilvl w:val="0"/>
          <w:numId w:val="6"/>
        </w:numPr>
      </w:pPr>
      <w:r w:rsidRPr="000F2B68">
        <w:t xml:space="preserve">OSU-Corvallis </w:t>
      </w:r>
      <w:r w:rsidR="00297467" w:rsidRPr="000F2B68">
        <w:t xml:space="preserve">option: </w:t>
      </w:r>
      <w:r w:rsidR="00CB2F2A" w:rsidRPr="000F2B68">
        <w:t>Faculty</w:t>
      </w:r>
      <w:r w:rsidR="00297467" w:rsidRPr="000F2B68">
        <w:t xml:space="preserve"> may instead</w:t>
      </w:r>
      <w:r w:rsidR="00CB2F2A" w:rsidRPr="000F2B68">
        <w:t xml:space="preserve"> </w:t>
      </w:r>
      <w:r w:rsidRPr="000F2B68">
        <w:t>invoke their Corvallis</w:t>
      </w:r>
      <w:r w:rsidR="00297467" w:rsidRPr="000F2B68">
        <w:t xml:space="preserve"> unit’s course release policy, in terms of rate and minimum number of courses to be taught.   This option typically will e</w:t>
      </w:r>
      <w:r w:rsidRPr="000F2B68">
        <w:t xml:space="preserve">nable faculty to be released from </w:t>
      </w:r>
      <w:r w:rsidR="00297467" w:rsidRPr="000F2B68">
        <w:t xml:space="preserve">all but two courses at a rate 2-3 times higher than the Cascades release amount. </w:t>
      </w:r>
      <w:r w:rsidR="00072E69" w:rsidRPr="000F2B68">
        <w:t xml:space="preserve">  Acceptable replacement faculty must be available. </w:t>
      </w:r>
      <w:r w:rsidRPr="000F2B68">
        <w:t>The individual requesting the course release must help identify the replacement faculty.</w:t>
      </w:r>
    </w:p>
    <w:p w14:paraId="44EC4704" w14:textId="77777777" w:rsidR="00CB2F2A" w:rsidRDefault="00CB2F2A" w:rsidP="00C82957">
      <w:pPr>
        <w:ind w:left="720"/>
      </w:pPr>
    </w:p>
    <w:p w14:paraId="470D8FB7" w14:textId="0DE752FC" w:rsidR="00414A6B" w:rsidRDefault="000F2B68" w:rsidP="00072E69">
      <w:pPr>
        <w:ind w:left="720"/>
      </w:pPr>
      <w:r>
        <w:t xml:space="preserve">Note: </w:t>
      </w:r>
      <w:r w:rsidR="00072E69">
        <w:t>Faculty may</w:t>
      </w:r>
      <w:r w:rsidR="00435A5B" w:rsidRPr="00435A5B">
        <w:t xml:space="preserve"> request a course release</w:t>
      </w:r>
      <w:r>
        <w:t xml:space="preserve"> from their dean</w:t>
      </w:r>
      <w:r w:rsidR="00435A5B" w:rsidRPr="00435A5B">
        <w:t xml:space="preserve"> on an individual basis</w:t>
      </w:r>
      <w:r>
        <w:t xml:space="preserve"> for a specific time-bounded</w:t>
      </w:r>
      <w:r w:rsidR="00072E69">
        <w:t xml:space="preserve"> need (e.g., accreditation preparation, CAT 1 development, etc.). </w:t>
      </w:r>
    </w:p>
    <w:sectPr w:rsidR="00414A6B" w:rsidSect="00F753B1">
      <w:headerReference w:type="default" r:id="rId9"/>
      <w:footerReference w:type="even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F7224" w14:textId="77777777" w:rsidR="00F414D7" w:rsidRDefault="00F414D7" w:rsidP="00D90E98">
      <w:pPr>
        <w:spacing w:after="0" w:line="240" w:lineRule="auto"/>
      </w:pPr>
      <w:r>
        <w:separator/>
      </w:r>
    </w:p>
  </w:endnote>
  <w:endnote w:type="continuationSeparator" w:id="0">
    <w:p w14:paraId="0161897E" w14:textId="77777777" w:rsidR="00F414D7" w:rsidRDefault="00F414D7" w:rsidP="00D9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5371C" w14:textId="77777777" w:rsidR="00F753B1" w:rsidRPr="00D90E98" w:rsidRDefault="00F753B1" w:rsidP="00F753B1">
    <w:pPr>
      <w:pStyle w:val="Footer"/>
      <w:rPr>
        <w:b/>
      </w:rPr>
    </w:pPr>
    <w:r w:rsidRPr="00D90E98">
      <w:rPr>
        <w:b/>
      </w:rPr>
      <w:t>Reviewed by Dean’s Council</w:t>
    </w:r>
  </w:p>
  <w:p w14:paraId="70F00EBA" w14:textId="77777777" w:rsidR="00F753B1" w:rsidRPr="00D90E98" w:rsidRDefault="00F753B1" w:rsidP="00F753B1">
    <w:pPr>
      <w:pStyle w:val="Footer"/>
      <w:rPr>
        <w:b/>
      </w:rPr>
    </w:pPr>
    <w:r>
      <w:rPr>
        <w:b/>
      </w:rPr>
      <w:t>11.12.13</w:t>
    </w:r>
  </w:p>
  <w:p w14:paraId="6A5BD949" w14:textId="5C33E259" w:rsidR="00F414D7" w:rsidRPr="00F753B1" w:rsidRDefault="00F753B1" w:rsidP="00F753B1">
    <w:pPr>
      <w:pStyle w:val="Footer"/>
    </w:pPr>
    <w:r w:rsidRPr="00D90E98">
      <w:rPr>
        <w:noProof/>
      </w:rPr>
      <w:drawing>
        <wp:inline distT="0" distB="0" distL="0" distR="0" wp14:anchorId="4D7F4ED1" wp14:editId="27FF83A4">
          <wp:extent cx="1807779" cy="619859"/>
          <wp:effectExtent l="0" t="0" r="254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61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F296F" w14:textId="77777777" w:rsidR="00F414D7" w:rsidRDefault="00F414D7" w:rsidP="00D90E98">
      <w:pPr>
        <w:spacing w:after="0" w:line="240" w:lineRule="auto"/>
      </w:pPr>
      <w:r>
        <w:separator/>
      </w:r>
    </w:p>
  </w:footnote>
  <w:footnote w:type="continuationSeparator" w:id="0">
    <w:p w14:paraId="7B386795" w14:textId="77777777" w:rsidR="00F414D7" w:rsidRDefault="00F414D7" w:rsidP="00D90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A620C" w14:textId="3CC75F11" w:rsidR="00F414D7" w:rsidRDefault="00F414D7" w:rsidP="00D90E98">
    <w:pPr>
      <w:pStyle w:val="Header"/>
      <w:jc w:val="center"/>
    </w:pPr>
    <w:r>
      <w:rPr>
        <w:noProof/>
      </w:rPr>
      <w:drawing>
        <wp:inline distT="0" distB="0" distL="0" distR="0" wp14:anchorId="5D1BC648" wp14:editId="0D92AE19">
          <wp:extent cx="3898900" cy="609600"/>
          <wp:effectExtent l="19050" t="0" r="6350" b="0"/>
          <wp:docPr id="1" name="Picture 1" descr="pc_cascades_s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_cascades_s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5D4"/>
    <w:multiLevelType w:val="hybridMultilevel"/>
    <w:tmpl w:val="678A8BD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01D4AC7"/>
    <w:multiLevelType w:val="hybridMultilevel"/>
    <w:tmpl w:val="CF20A52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E3358"/>
    <w:multiLevelType w:val="hybridMultilevel"/>
    <w:tmpl w:val="60503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662B0"/>
    <w:multiLevelType w:val="hybridMultilevel"/>
    <w:tmpl w:val="7158AF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7A65B3"/>
    <w:multiLevelType w:val="hybridMultilevel"/>
    <w:tmpl w:val="CF20A52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1B6695"/>
    <w:multiLevelType w:val="hybridMultilevel"/>
    <w:tmpl w:val="7570EBC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C857E9"/>
    <w:multiLevelType w:val="hybridMultilevel"/>
    <w:tmpl w:val="CF20A52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5B"/>
    <w:rsid w:val="00072E69"/>
    <w:rsid w:val="000F2B68"/>
    <w:rsid w:val="000F3B67"/>
    <w:rsid w:val="00124D19"/>
    <w:rsid w:val="00135091"/>
    <w:rsid w:val="00171D09"/>
    <w:rsid w:val="00174CA8"/>
    <w:rsid w:val="00182326"/>
    <w:rsid w:val="00187047"/>
    <w:rsid w:val="00193BB3"/>
    <w:rsid w:val="001D6153"/>
    <w:rsid w:val="00212D83"/>
    <w:rsid w:val="0022688E"/>
    <w:rsid w:val="00277824"/>
    <w:rsid w:val="00297467"/>
    <w:rsid w:val="002C7AC2"/>
    <w:rsid w:val="00320FC1"/>
    <w:rsid w:val="003923CD"/>
    <w:rsid w:val="00392C17"/>
    <w:rsid w:val="00414A6B"/>
    <w:rsid w:val="00435A5B"/>
    <w:rsid w:val="00495EDC"/>
    <w:rsid w:val="0053323E"/>
    <w:rsid w:val="005C1C73"/>
    <w:rsid w:val="00692AAB"/>
    <w:rsid w:val="006C4D57"/>
    <w:rsid w:val="006F4875"/>
    <w:rsid w:val="00750ACD"/>
    <w:rsid w:val="007A2F06"/>
    <w:rsid w:val="007D5D71"/>
    <w:rsid w:val="007F47DF"/>
    <w:rsid w:val="00832166"/>
    <w:rsid w:val="008B3557"/>
    <w:rsid w:val="00910AD2"/>
    <w:rsid w:val="00921617"/>
    <w:rsid w:val="00974D67"/>
    <w:rsid w:val="00975A9D"/>
    <w:rsid w:val="0098037C"/>
    <w:rsid w:val="0099704C"/>
    <w:rsid w:val="009B4AB2"/>
    <w:rsid w:val="00A02820"/>
    <w:rsid w:val="00C15400"/>
    <w:rsid w:val="00C82957"/>
    <w:rsid w:val="00C952C0"/>
    <w:rsid w:val="00CB2F2A"/>
    <w:rsid w:val="00D629BA"/>
    <w:rsid w:val="00D90E98"/>
    <w:rsid w:val="00DD61F5"/>
    <w:rsid w:val="00DE24E3"/>
    <w:rsid w:val="00DF491E"/>
    <w:rsid w:val="00E3429A"/>
    <w:rsid w:val="00EA0B31"/>
    <w:rsid w:val="00F414D7"/>
    <w:rsid w:val="00F7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626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98"/>
  </w:style>
  <w:style w:type="paragraph" w:styleId="Footer">
    <w:name w:val="footer"/>
    <w:basedOn w:val="Normal"/>
    <w:link w:val="FooterChar"/>
    <w:uiPriority w:val="99"/>
    <w:unhideWhenUsed/>
    <w:rsid w:val="00D90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98"/>
  </w:style>
  <w:style w:type="paragraph" w:styleId="BalloonText">
    <w:name w:val="Balloon Text"/>
    <w:basedOn w:val="Normal"/>
    <w:link w:val="BalloonTextChar"/>
    <w:uiPriority w:val="99"/>
    <w:semiHidden/>
    <w:unhideWhenUsed/>
    <w:rsid w:val="00D9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F2A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F753B1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98"/>
  </w:style>
  <w:style w:type="paragraph" w:styleId="Footer">
    <w:name w:val="footer"/>
    <w:basedOn w:val="Normal"/>
    <w:link w:val="FooterChar"/>
    <w:uiPriority w:val="99"/>
    <w:unhideWhenUsed/>
    <w:rsid w:val="00D90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98"/>
  </w:style>
  <w:style w:type="paragraph" w:styleId="BalloonText">
    <w:name w:val="Balloon Text"/>
    <w:basedOn w:val="Normal"/>
    <w:link w:val="BalloonTextChar"/>
    <w:uiPriority w:val="99"/>
    <w:semiHidden/>
    <w:unhideWhenUsed/>
    <w:rsid w:val="00D9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F2A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F753B1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D02E82-CF94-4B47-A3B7-9935D9E3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3170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Hacker</dc:creator>
  <cp:lastModifiedBy>Marla Hacker</cp:lastModifiedBy>
  <cp:revision>8</cp:revision>
  <dcterms:created xsi:type="dcterms:W3CDTF">2013-12-23T22:59:00Z</dcterms:created>
  <dcterms:modified xsi:type="dcterms:W3CDTF">2015-03-06T01:18:00Z</dcterms:modified>
</cp:coreProperties>
</file>